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8BFB5" w14:textId="77777777" w:rsidR="00C54E35" w:rsidRPr="00500308" w:rsidRDefault="00C54E3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cs="Times New Roman"/>
          <w:b/>
          <w:bCs/>
          <w:sz w:val="22"/>
          <w:szCs w:val="22"/>
        </w:rPr>
      </w:pPr>
      <w:bookmarkStart w:id="0" w:name="_GoBack"/>
      <w:bookmarkEnd w:id="0"/>
      <w:r w:rsidRPr="00500308">
        <w:rPr>
          <w:rFonts w:cs="Times New Roman"/>
          <w:b/>
          <w:bCs/>
          <w:sz w:val="22"/>
          <w:szCs w:val="22"/>
        </w:rPr>
        <w:t xml:space="preserve">Recognition of Gains and Losses on Capital Stock Transactions  </w:t>
      </w:r>
    </w:p>
    <w:p w14:paraId="249F3854" w14:textId="470EBEE6" w:rsidR="00C54E35" w:rsidRDefault="00C54E3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Times New Roman"/>
          <w:sz w:val="22"/>
          <w:szCs w:val="22"/>
        </w:rPr>
      </w:pPr>
      <w:r w:rsidRPr="00500308">
        <w:rPr>
          <w:rFonts w:cs="Times New Roman"/>
          <w:sz w:val="22"/>
          <w:szCs w:val="22"/>
        </w:rPr>
        <w:tab/>
        <w:t xml:space="preserve">Related party transactions between the entity and its creditor are very common in the business world. Many companies look to have their debt extinguished and possibly offer equity in return. The Financial Accounting Standards Boards, also known as the FASB, establishes financial accounting and reporting standards for public and private companies. The FASB has a set of rules or </w:t>
      </w:r>
      <w:r w:rsidR="00133CD0" w:rsidRPr="00500308">
        <w:rPr>
          <w:rFonts w:cs="Times New Roman"/>
          <w:sz w:val="22"/>
          <w:szCs w:val="22"/>
        </w:rPr>
        <w:t>guidance</w:t>
      </w:r>
      <w:r w:rsidRPr="00500308">
        <w:rPr>
          <w:rFonts w:cs="Times New Roman"/>
          <w:sz w:val="22"/>
          <w:szCs w:val="22"/>
        </w:rPr>
        <w:t xml:space="preserve"> for companies on how to report transactions in compliance with GAAP. The issue presented in an article from the </w:t>
      </w:r>
      <w:r w:rsidRPr="00500308">
        <w:rPr>
          <w:rFonts w:cs="Times New Roman"/>
          <w:i/>
          <w:iCs/>
          <w:sz w:val="22"/>
          <w:szCs w:val="22"/>
        </w:rPr>
        <w:t>Journal of Ac</w:t>
      </w:r>
      <w:r w:rsidR="00077248">
        <w:rPr>
          <w:rFonts w:cs="Times New Roman"/>
          <w:i/>
          <w:iCs/>
          <w:sz w:val="22"/>
          <w:szCs w:val="22"/>
        </w:rPr>
        <w:t>countancy</w:t>
      </w:r>
      <w:r w:rsidRPr="00500308">
        <w:rPr>
          <w:rFonts w:cs="Times New Roman"/>
          <w:sz w:val="22"/>
          <w:szCs w:val="22"/>
        </w:rPr>
        <w:t>, “What’s a litt</w:t>
      </w:r>
      <w:r w:rsidR="00D44AD5" w:rsidRPr="00500308">
        <w:rPr>
          <w:rFonts w:cs="Times New Roman"/>
          <w:sz w:val="22"/>
          <w:szCs w:val="22"/>
        </w:rPr>
        <w:t>le debt between friends?” by Ra</w:t>
      </w:r>
      <w:r w:rsidRPr="00500308">
        <w:rPr>
          <w:rFonts w:cs="Times New Roman"/>
          <w:sz w:val="22"/>
          <w:szCs w:val="22"/>
        </w:rPr>
        <w:t>l</w:t>
      </w:r>
      <w:r w:rsidR="00D44AD5" w:rsidRPr="00500308">
        <w:rPr>
          <w:rFonts w:cs="Times New Roman"/>
          <w:sz w:val="22"/>
          <w:szCs w:val="22"/>
        </w:rPr>
        <w:t>p</w:t>
      </w:r>
      <w:r w:rsidRPr="00500308">
        <w:rPr>
          <w:rFonts w:cs="Times New Roman"/>
          <w:sz w:val="22"/>
          <w:szCs w:val="22"/>
        </w:rPr>
        <w:t xml:space="preserve">h Pucek and Glenn Richards, presents readers with difficulties preparers face when using the guidance, provided by the </w:t>
      </w:r>
      <w:r w:rsidRPr="00500308">
        <w:rPr>
          <w:rFonts w:cs="Times New Roman"/>
          <w:i/>
          <w:iCs/>
          <w:sz w:val="22"/>
          <w:szCs w:val="22"/>
        </w:rPr>
        <w:t>ASC Section 470-50-40</w:t>
      </w:r>
      <w:r w:rsidRPr="00500308">
        <w:rPr>
          <w:rFonts w:cs="Times New Roman"/>
          <w:sz w:val="22"/>
          <w:szCs w:val="22"/>
        </w:rPr>
        <w:t xml:space="preserve"> “Debt Extinguishments Between Related Parties,” for debt extinguishment transactions. After reading the journal and the </w:t>
      </w:r>
      <w:r w:rsidR="00133CD0">
        <w:rPr>
          <w:rFonts w:cs="Times New Roman"/>
          <w:sz w:val="22"/>
          <w:szCs w:val="22"/>
        </w:rPr>
        <w:t>guidance</w:t>
      </w:r>
      <w:r w:rsidRPr="00500308">
        <w:rPr>
          <w:rFonts w:cs="Times New Roman"/>
          <w:sz w:val="22"/>
          <w:szCs w:val="22"/>
        </w:rPr>
        <w:t xml:space="preserve">, there seems to be no support for recognition of gains and losses on capital stock transactions, involving a company’s own stock and shareholders, when dealing with related parties because such </w:t>
      </w:r>
      <w:r w:rsidR="00063B1A">
        <w:rPr>
          <w:rFonts w:cs="Times New Roman"/>
          <w:sz w:val="22"/>
          <w:szCs w:val="22"/>
        </w:rPr>
        <w:t xml:space="preserve">transactions are not </w:t>
      </w:r>
      <w:r w:rsidRPr="00500308">
        <w:rPr>
          <w:rFonts w:cs="Times New Roman"/>
          <w:sz w:val="22"/>
          <w:szCs w:val="22"/>
        </w:rPr>
        <w:t xml:space="preserve">extraordinary, and also </w:t>
      </w:r>
      <w:r w:rsidR="00063B1A">
        <w:rPr>
          <w:rFonts w:cs="Times New Roman"/>
          <w:sz w:val="22"/>
          <w:szCs w:val="22"/>
        </w:rPr>
        <w:t>do</w:t>
      </w:r>
      <w:r w:rsidRPr="00500308">
        <w:rPr>
          <w:rFonts w:cs="Times New Roman"/>
          <w:sz w:val="22"/>
          <w:szCs w:val="22"/>
        </w:rPr>
        <w:t xml:space="preserve"> not comply with GAAP.  </w:t>
      </w:r>
    </w:p>
    <w:p w14:paraId="0B40C37D" w14:textId="7B6EB1B0" w:rsidR="008F2BA4" w:rsidRDefault="008F2BA4"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Times New Roman"/>
          <w:sz w:val="22"/>
          <w:szCs w:val="22"/>
        </w:rPr>
      </w:pPr>
      <w:r>
        <w:rPr>
          <w:rFonts w:cs="Times New Roman"/>
          <w:sz w:val="22"/>
          <w:szCs w:val="22"/>
        </w:rPr>
        <w:tab/>
      </w:r>
      <w:r w:rsidRPr="00500308">
        <w:rPr>
          <w:rFonts w:cs="Times New Roman"/>
          <w:sz w:val="22"/>
          <w:szCs w:val="22"/>
        </w:rPr>
        <w:t>When accounting for extinguishment of debt, prepares may struggle to determine whether they should recognize a gain or loss on the transaction. In accounting, gains and losses are different from each other because a gain results from a company producing profits, whe</w:t>
      </w:r>
      <w:r w:rsidR="00077248">
        <w:rPr>
          <w:rFonts w:cs="Times New Roman"/>
          <w:sz w:val="22"/>
          <w:szCs w:val="22"/>
        </w:rPr>
        <w:t>reas a loss is when a company l</w:t>
      </w:r>
      <w:r w:rsidRPr="00500308">
        <w:rPr>
          <w:rFonts w:cs="Times New Roman"/>
          <w:sz w:val="22"/>
          <w:szCs w:val="22"/>
        </w:rPr>
        <w:t xml:space="preserve">oses money. </w:t>
      </w:r>
      <w:r w:rsidRPr="00500308">
        <w:rPr>
          <w:rFonts w:cs="Times New Roman"/>
          <w:bCs/>
          <w:sz w:val="22"/>
          <w:szCs w:val="22"/>
        </w:rPr>
        <w:t>“Owners of the business are more likely to engage in capital transactions because they generally benefit from the risks and rewards of ownership. Related parties that are not owners, on the other hand, are more likely to engage in transactions that would result in gain recognition when the underlying liability is forgiven.”</w:t>
      </w:r>
      <w:r>
        <w:rPr>
          <w:rStyle w:val="FootnoteReference"/>
          <w:rFonts w:cs="Times New Roman"/>
          <w:bCs/>
          <w:sz w:val="22"/>
          <w:szCs w:val="22"/>
        </w:rPr>
        <w:footnoteReference w:id="1"/>
      </w:r>
      <w:r w:rsidRPr="00500308">
        <w:rPr>
          <w:rFonts w:cs="Times New Roman"/>
          <w:bCs/>
          <w:sz w:val="22"/>
          <w:szCs w:val="22"/>
        </w:rPr>
        <w:t xml:space="preserve"> </w:t>
      </w:r>
      <w:r w:rsidRPr="00500308">
        <w:rPr>
          <w:rFonts w:cs="Times New Roman"/>
          <w:sz w:val="22"/>
          <w:szCs w:val="22"/>
        </w:rPr>
        <w:t xml:space="preserve">In this statement readers can </w:t>
      </w:r>
      <w:r w:rsidR="00063B1A">
        <w:rPr>
          <w:rFonts w:cs="Times New Roman"/>
          <w:sz w:val="22"/>
          <w:szCs w:val="22"/>
        </w:rPr>
        <w:t>understand</w:t>
      </w:r>
      <w:r w:rsidRPr="00500308">
        <w:rPr>
          <w:rFonts w:cs="Times New Roman"/>
          <w:sz w:val="22"/>
          <w:szCs w:val="22"/>
        </w:rPr>
        <w:t xml:space="preserve"> that </w:t>
      </w:r>
      <w:r w:rsidR="00063B1A">
        <w:rPr>
          <w:rFonts w:cs="Times New Roman"/>
          <w:sz w:val="22"/>
          <w:szCs w:val="22"/>
        </w:rPr>
        <w:t>related</w:t>
      </w:r>
      <w:r w:rsidRPr="00500308">
        <w:rPr>
          <w:rFonts w:cs="Times New Roman"/>
          <w:sz w:val="22"/>
          <w:szCs w:val="22"/>
        </w:rPr>
        <w:t xml:space="preserve"> parties, whom are non owners of the entity, are obviously going to engage in transactions that will provide</w:t>
      </w:r>
      <w:r w:rsidR="00063B1A">
        <w:rPr>
          <w:rFonts w:cs="Times New Roman"/>
          <w:sz w:val="22"/>
          <w:szCs w:val="22"/>
        </w:rPr>
        <w:t xml:space="preserve"> them with gain</w:t>
      </w:r>
      <w:r w:rsidR="00077248">
        <w:rPr>
          <w:rFonts w:cs="Times New Roman"/>
          <w:sz w:val="22"/>
          <w:szCs w:val="22"/>
        </w:rPr>
        <w:t>s</w:t>
      </w:r>
      <w:r w:rsidR="00063B1A">
        <w:rPr>
          <w:rFonts w:cs="Times New Roman"/>
          <w:sz w:val="22"/>
          <w:szCs w:val="22"/>
        </w:rPr>
        <w:t xml:space="preserve"> </w:t>
      </w:r>
      <w:r w:rsidRPr="00500308">
        <w:rPr>
          <w:rFonts w:cs="Times New Roman"/>
          <w:sz w:val="22"/>
          <w:szCs w:val="22"/>
        </w:rPr>
        <w:t>because most likely their initial reason for investing in the company is to realize a gain on his or her investment. They would not want to sign off on a deal that will put them in a loss position. Conversely, an owner of the entity many times will engage in a business that might show a loss for themselves, but show a gain for the entity in order to bring positive rewards to the entity. The reason for this is because the owner most likely want</w:t>
      </w:r>
      <w:r w:rsidR="00605167">
        <w:rPr>
          <w:rFonts w:cs="Times New Roman"/>
          <w:sz w:val="22"/>
          <w:szCs w:val="22"/>
        </w:rPr>
        <w:t>s</w:t>
      </w:r>
      <w:r w:rsidRPr="00500308">
        <w:rPr>
          <w:rFonts w:cs="Times New Roman"/>
          <w:sz w:val="22"/>
          <w:szCs w:val="22"/>
        </w:rPr>
        <w:t xml:space="preserve"> to see their own business perform positively and not have any additional losses attached to their business. </w:t>
      </w:r>
    </w:p>
    <w:p w14:paraId="4E984523" w14:textId="3E78E99F" w:rsidR="008F2BA4" w:rsidRPr="00500308" w:rsidRDefault="008F2BA4"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Times New Roman"/>
          <w:sz w:val="22"/>
          <w:szCs w:val="22"/>
        </w:rPr>
      </w:pPr>
      <w:r w:rsidRPr="00500308">
        <w:rPr>
          <w:rFonts w:cs="Times New Roman"/>
          <w:sz w:val="22"/>
          <w:szCs w:val="22"/>
        </w:rPr>
        <w:tab/>
        <w:t xml:space="preserve">In order for a preparer to report a gain or loss on the extinguishment, the debt must be considered an extraordinary item. </w:t>
      </w:r>
      <w:r w:rsidRPr="00500308">
        <w:rPr>
          <w:rFonts w:cs="Times New Roman"/>
          <w:bCs/>
          <w:sz w:val="22"/>
          <w:szCs w:val="22"/>
        </w:rPr>
        <w:t>“To be classified as extraordinary, the transaction must be both unusual in nature and infrequent in occurrence, given the entity’s environment (ASC 225-20).”</w:t>
      </w:r>
      <w:r w:rsidRPr="00500308">
        <w:rPr>
          <w:rStyle w:val="FootnoteReference"/>
          <w:rFonts w:cs="Times New Roman"/>
          <w:bCs/>
          <w:sz w:val="22"/>
          <w:szCs w:val="22"/>
        </w:rPr>
        <w:footnoteReference w:id="2"/>
      </w:r>
      <w:r w:rsidRPr="00500308">
        <w:rPr>
          <w:rFonts w:cs="Times New Roman"/>
          <w:bCs/>
          <w:sz w:val="22"/>
          <w:szCs w:val="22"/>
        </w:rPr>
        <w:t xml:space="preserve"> </w:t>
      </w:r>
      <w:r w:rsidR="00077248">
        <w:rPr>
          <w:rFonts w:cs="Times New Roman"/>
          <w:bCs/>
          <w:sz w:val="22"/>
          <w:szCs w:val="22"/>
        </w:rPr>
        <w:t xml:space="preserve">More importantly, extraordinary </w:t>
      </w:r>
      <w:r w:rsidR="00077248">
        <w:rPr>
          <w:rFonts w:cs="Times New Roman"/>
          <w:bCs/>
          <w:sz w:val="22"/>
          <w:szCs w:val="22"/>
        </w:rPr>
        <w:lastRenderedPageBreak/>
        <w:t>items were eliminated as of 2015 in a reporting simplification standard (ASU 2015-01).</w:t>
      </w:r>
      <w:r w:rsidR="00077248">
        <w:rPr>
          <w:rFonts w:cs="Times New Roman"/>
          <w:bCs/>
          <w:sz w:val="22"/>
          <w:szCs w:val="22"/>
          <w:vertAlign w:val="superscript"/>
        </w:rPr>
        <w:t>3</w:t>
      </w:r>
      <w:r w:rsidR="00077248">
        <w:rPr>
          <w:rFonts w:cs="Times New Roman"/>
          <w:bCs/>
          <w:sz w:val="22"/>
          <w:szCs w:val="22"/>
        </w:rPr>
        <w:t xml:space="preserve"> </w:t>
      </w:r>
      <w:r w:rsidRPr="00500308">
        <w:rPr>
          <w:rFonts w:cs="Times New Roman"/>
          <w:sz w:val="22"/>
          <w:szCs w:val="22"/>
        </w:rPr>
        <w:t xml:space="preserve">Capital stocks are not considered “extraordinary,” because they are neither unusual nor infrequent. For cases where debt is extinguished through the issuance of capital stock, the </w:t>
      </w:r>
      <w:r w:rsidR="00063B1A">
        <w:rPr>
          <w:rFonts w:cs="Times New Roman"/>
          <w:sz w:val="22"/>
          <w:szCs w:val="22"/>
        </w:rPr>
        <w:t>guidance</w:t>
      </w:r>
      <w:r w:rsidRPr="00500308">
        <w:rPr>
          <w:rFonts w:cs="Times New Roman"/>
          <w:sz w:val="22"/>
          <w:szCs w:val="22"/>
        </w:rPr>
        <w:t xml:space="preserve"> states that </w:t>
      </w:r>
      <w:r w:rsidRPr="00500308">
        <w:rPr>
          <w:rFonts w:cs="Times New Roman"/>
          <w:bCs/>
          <w:sz w:val="22"/>
          <w:szCs w:val="22"/>
        </w:rPr>
        <w:t>“the reacquisition price of the extinguished debt shall be determined by the value of the common or preferred stock issued or the value of the debt—whichever is more clearly evident.”</w:t>
      </w:r>
      <w:r w:rsidRPr="00500308">
        <w:rPr>
          <w:rStyle w:val="FootnoteReference"/>
          <w:rFonts w:cs="Times New Roman"/>
          <w:bCs/>
          <w:sz w:val="22"/>
          <w:szCs w:val="22"/>
        </w:rPr>
        <w:footnoteReference w:id="3"/>
      </w:r>
      <w:r w:rsidR="00133CD0">
        <w:rPr>
          <w:rFonts w:cs="Times New Roman"/>
          <w:sz w:val="22"/>
          <w:szCs w:val="22"/>
        </w:rPr>
        <w:t xml:space="preserve"> Now for reporting purposes, </w:t>
      </w:r>
      <w:r w:rsidRPr="00500308">
        <w:rPr>
          <w:rFonts w:cs="Times New Roman"/>
          <w:sz w:val="22"/>
          <w:szCs w:val="22"/>
        </w:rPr>
        <w:t xml:space="preserve">the </w:t>
      </w:r>
      <w:r w:rsidR="00133CD0">
        <w:rPr>
          <w:rFonts w:cs="Times New Roman"/>
          <w:sz w:val="22"/>
          <w:szCs w:val="22"/>
        </w:rPr>
        <w:t>guidance</w:t>
      </w:r>
      <w:r w:rsidRPr="00500308">
        <w:rPr>
          <w:rFonts w:cs="Times New Roman"/>
          <w:sz w:val="22"/>
          <w:szCs w:val="22"/>
        </w:rPr>
        <w:t xml:space="preserve"> also states, </w:t>
      </w:r>
      <w:r w:rsidRPr="00500308">
        <w:rPr>
          <w:rFonts w:cs="Times New Roman"/>
          <w:bCs/>
          <w:sz w:val="22"/>
          <w:szCs w:val="22"/>
        </w:rPr>
        <w:t>“extinguishment transactions between related entities may be in essence capital transactions.”</w:t>
      </w:r>
      <w:r w:rsidR="00D72E0F">
        <w:rPr>
          <w:rStyle w:val="FootnoteReference"/>
          <w:rFonts w:cs="Times New Roman"/>
          <w:bCs/>
          <w:sz w:val="22"/>
          <w:szCs w:val="22"/>
        </w:rPr>
        <w:t>3</w:t>
      </w:r>
      <w:r w:rsidRPr="00500308">
        <w:rPr>
          <w:rFonts w:cs="Times New Roman"/>
          <w:bCs/>
          <w:sz w:val="22"/>
          <w:szCs w:val="22"/>
        </w:rPr>
        <w:t xml:space="preserve"> </w:t>
      </w:r>
      <w:r w:rsidRPr="00500308">
        <w:rPr>
          <w:rFonts w:cs="Times New Roman"/>
          <w:sz w:val="22"/>
          <w:szCs w:val="22"/>
        </w:rPr>
        <w:t>These statements tell prepare</w:t>
      </w:r>
      <w:r w:rsidR="00F073A0">
        <w:rPr>
          <w:rFonts w:cs="Times New Roman"/>
          <w:sz w:val="22"/>
          <w:szCs w:val="22"/>
        </w:rPr>
        <w:t>r</w:t>
      </w:r>
      <w:r w:rsidRPr="00500308">
        <w:rPr>
          <w:rFonts w:cs="Times New Roman"/>
          <w:sz w:val="22"/>
          <w:szCs w:val="22"/>
        </w:rPr>
        <w:t>s that the requisition price of the extinguished debt and the value of the common or preferred stock should be recognized as an adjustment to entity and not as a gain or loss.</w:t>
      </w:r>
    </w:p>
    <w:p w14:paraId="42A1286E" w14:textId="7DA81920" w:rsidR="00C54E35" w:rsidRPr="00500308" w:rsidRDefault="00C54E3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Times New Roman"/>
          <w:sz w:val="22"/>
          <w:szCs w:val="22"/>
        </w:rPr>
      </w:pPr>
      <w:r w:rsidRPr="00500308">
        <w:rPr>
          <w:rFonts w:cs="Times New Roman"/>
          <w:sz w:val="22"/>
          <w:szCs w:val="22"/>
        </w:rPr>
        <w:tab/>
        <w:t xml:space="preserve">Furthermore, in a situation where the creditor of an entity has received a benefit, such as equity, on the extinguishment of debt with a related party, </w:t>
      </w:r>
      <w:r w:rsidRPr="00500308">
        <w:rPr>
          <w:rFonts w:cs="Times New Roman"/>
          <w:bCs/>
          <w:sz w:val="22"/>
          <w:szCs w:val="22"/>
        </w:rPr>
        <w:t>“preparers must determine which extinguishment transactions should be recognized as capital transactions and which should result in the recognition of a gain or loss.”</w:t>
      </w:r>
      <w:r w:rsidR="00D44AD5" w:rsidRPr="00500308">
        <w:rPr>
          <w:rStyle w:val="FootnoteReference"/>
          <w:rFonts w:cs="Times New Roman"/>
          <w:bCs/>
          <w:sz w:val="22"/>
          <w:szCs w:val="22"/>
        </w:rPr>
        <w:footnoteReference w:id="4"/>
      </w:r>
      <w:r w:rsidRPr="00500308">
        <w:rPr>
          <w:rFonts w:cs="Times New Roman"/>
          <w:sz w:val="22"/>
          <w:szCs w:val="22"/>
        </w:rPr>
        <w:t xml:space="preserve"> Preparers have a hard time making this decision because one of the statements provided in the guidance indicates that, </w:t>
      </w:r>
      <w:r w:rsidRPr="00500308">
        <w:rPr>
          <w:rFonts w:cs="Times New Roman"/>
          <w:bCs/>
          <w:sz w:val="22"/>
          <w:szCs w:val="22"/>
        </w:rPr>
        <w:t>“A difference between the reacquisition price of debt and the net carrying amount of the extinguished debt shall be recognized currently in income of the period of extinguishment as losses or gains and identified as a separate item.”</w:t>
      </w:r>
      <w:r w:rsidR="00D72E0F" w:rsidRPr="00D72E0F">
        <w:rPr>
          <w:rStyle w:val="FootnoteReference"/>
          <w:rFonts w:cs="Times New Roman"/>
          <w:bCs/>
          <w:sz w:val="22"/>
          <w:szCs w:val="22"/>
        </w:rPr>
        <w:t xml:space="preserve"> </w:t>
      </w:r>
      <w:r w:rsidR="00F073A0">
        <w:rPr>
          <w:rStyle w:val="FootnoteReference"/>
          <w:rFonts w:cs="Times New Roman"/>
          <w:bCs/>
          <w:sz w:val="22"/>
          <w:szCs w:val="22"/>
        </w:rPr>
        <w:t>1</w:t>
      </w:r>
      <w:r w:rsidR="00D72E0F" w:rsidRPr="00500308">
        <w:rPr>
          <w:rFonts w:cs="Times New Roman"/>
          <w:bCs/>
          <w:sz w:val="22"/>
          <w:szCs w:val="22"/>
        </w:rPr>
        <w:t xml:space="preserve"> </w:t>
      </w:r>
      <w:r w:rsidRPr="00500308">
        <w:rPr>
          <w:rFonts w:cs="Times New Roman"/>
          <w:sz w:val="22"/>
          <w:szCs w:val="22"/>
        </w:rPr>
        <w:t xml:space="preserve">Considering this part of the guidance, some preparers can automatically decide that since the creditor has received a benefit, (in terms of equity valued higher compared to the extinguished debt), they can recognize a loss on this transaction and report it on the income statement. As this may seem to support the idea of recognizing gains and losses on capital stock transactions, involving a company’s own stock and shareholders, it </w:t>
      </w:r>
      <w:r w:rsidR="00605167">
        <w:rPr>
          <w:rFonts w:cs="Times New Roman"/>
          <w:sz w:val="22"/>
          <w:szCs w:val="22"/>
        </w:rPr>
        <w:t>would be</w:t>
      </w:r>
      <w:r w:rsidRPr="00500308">
        <w:rPr>
          <w:rFonts w:cs="Times New Roman"/>
          <w:sz w:val="22"/>
          <w:szCs w:val="22"/>
        </w:rPr>
        <w:t xml:space="preserve"> incorrect because this method does not follow the rules of GAAP. As a result </w:t>
      </w:r>
      <w:r w:rsidRPr="00500308">
        <w:rPr>
          <w:rFonts w:cs="Times New Roman"/>
          <w:bCs/>
          <w:sz w:val="22"/>
          <w:szCs w:val="22"/>
        </w:rPr>
        <w:t>“the entity should not recognize a gain from an exchange transaction with its owner. Unlike expenses, gains from capital-type transactions have little support within GAAP. Thus, the entity should derecognize the carrying value of its debt (such as a discount or premium on debt and any related debt-issuance costs), with the offsetting credit to equity.”</w:t>
      </w:r>
      <w:r w:rsidR="00F073A0">
        <w:rPr>
          <w:rStyle w:val="FootnoteReference"/>
          <w:rFonts w:cs="Times New Roman"/>
          <w:bCs/>
          <w:sz w:val="22"/>
          <w:szCs w:val="22"/>
        </w:rPr>
        <w:t>1</w:t>
      </w:r>
      <w:r w:rsidR="00D72E0F">
        <w:rPr>
          <w:rStyle w:val="FootnoteReference"/>
          <w:rFonts w:cs="Times New Roman"/>
          <w:bCs/>
          <w:sz w:val="22"/>
          <w:szCs w:val="22"/>
        </w:rPr>
        <w:t xml:space="preserve"> </w:t>
      </w:r>
      <w:r w:rsidRPr="00500308">
        <w:rPr>
          <w:rFonts w:cs="Times New Roman"/>
          <w:sz w:val="22"/>
          <w:szCs w:val="22"/>
        </w:rPr>
        <w:t xml:space="preserve">Since the creditor is changing the debt from the entity into equity, neither a gain nor loss should be reported in net income. </w:t>
      </w:r>
    </w:p>
    <w:p w14:paraId="3B98E033" w14:textId="34153F4B" w:rsidR="00C54E35" w:rsidRPr="00500308" w:rsidRDefault="00C54E3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Times New Roman"/>
          <w:sz w:val="22"/>
          <w:szCs w:val="22"/>
        </w:rPr>
      </w:pPr>
      <w:r w:rsidRPr="00500308">
        <w:rPr>
          <w:rFonts w:cs="Times New Roman"/>
          <w:sz w:val="22"/>
          <w:szCs w:val="22"/>
        </w:rPr>
        <w:tab/>
      </w:r>
      <w:r w:rsidRPr="00500308">
        <w:rPr>
          <w:rFonts w:cs="Times New Roman"/>
          <w:sz w:val="22"/>
          <w:szCs w:val="22"/>
        </w:rPr>
        <w:tab/>
        <w:t>In conclusion, recognizing gains and losses on capital stock transactions</w:t>
      </w:r>
      <w:r w:rsidR="0074180A">
        <w:rPr>
          <w:rFonts w:cs="Times New Roman"/>
          <w:sz w:val="22"/>
          <w:szCs w:val="22"/>
        </w:rPr>
        <w:t xml:space="preserve"> of related parties</w:t>
      </w:r>
      <w:r w:rsidRPr="00500308">
        <w:rPr>
          <w:rFonts w:cs="Times New Roman"/>
          <w:sz w:val="22"/>
          <w:szCs w:val="22"/>
        </w:rPr>
        <w:t xml:space="preserve"> is not </w:t>
      </w:r>
      <w:r w:rsidR="0074180A">
        <w:rPr>
          <w:rFonts w:cs="Times New Roman"/>
          <w:sz w:val="22"/>
          <w:szCs w:val="22"/>
        </w:rPr>
        <w:t>generally accepted as it distorts the financial position</w:t>
      </w:r>
      <w:r w:rsidRPr="00500308">
        <w:rPr>
          <w:rFonts w:cs="Times New Roman"/>
          <w:sz w:val="22"/>
          <w:szCs w:val="22"/>
        </w:rPr>
        <w:t xml:space="preserve">. </w:t>
      </w:r>
      <w:r w:rsidR="0074180A">
        <w:rPr>
          <w:rFonts w:cs="Times New Roman"/>
          <w:sz w:val="22"/>
          <w:szCs w:val="22"/>
        </w:rPr>
        <w:t xml:space="preserve">It is important to remember “substance over form”:  any under/over receipt of benefits effectively reduces net stockholders equity. </w:t>
      </w:r>
      <w:r w:rsidRPr="00500308">
        <w:rPr>
          <w:rFonts w:cs="Times New Roman"/>
          <w:sz w:val="22"/>
          <w:szCs w:val="22"/>
        </w:rPr>
        <w:t xml:space="preserve">Even though the guidance provided by the FASB </w:t>
      </w:r>
      <w:r w:rsidR="0074180A">
        <w:rPr>
          <w:rFonts w:cs="Times New Roman"/>
          <w:sz w:val="22"/>
          <w:szCs w:val="22"/>
        </w:rPr>
        <w:t>is not as clear as possible,</w:t>
      </w:r>
      <w:r w:rsidRPr="00500308">
        <w:rPr>
          <w:rFonts w:cs="Times New Roman"/>
          <w:sz w:val="22"/>
          <w:szCs w:val="22"/>
        </w:rPr>
        <w:t xml:space="preserve"> </w:t>
      </w:r>
      <w:r w:rsidR="0074180A">
        <w:rPr>
          <w:rFonts w:cs="Times New Roman"/>
          <w:sz w:val="22"/>
          <w:szCs w:val="22"/>
        </w:rPr>
        <w:t>the general rule is there can be no gains or losses generated by transactions involving a company’s capital stock</w:t>
      </w:r>
      <w:r w:rsidRPr="00500308">
        <w:rPr>
          <w:rFonts w:cs="Times New Roman"/>
          <w:sz w:val="22"/>
          <w:szCs w:val="22"/>
        </w:rPr>
        <w:t xml:space="preserve">. In situations with transactions like these, the </w:t>
      </w:r>
      <w:r w:rsidRPr="00500308">
        <w:rPr>
          <w:rFonts w:cs="Times New Roman"/>
          <w:sz w:val="22"/>
          <w:szCs w:val="22"/>
        </w:rPr>
        <w:lastRenderedPageBreak/>
        <w:t xml:space="preserve">entity would have to derecognize the carry value of its debt and report </w:t>
      </w:r>
      <w:r w:rsidR="0074180A">
        <w:rPr>
          <w:rFonts w:cs="Times New Roman"/>
          <w:sz w:val="22"/>
          <w:szCs w:val="22"/>
        </w:rPr>
        <w:t xml:space="preserve">an </w:t>
      </w:r>
      <w:r w:rsidRPr="00500308">
        <w:rPr>
          <w:rFonts w:cs="Times New Roman"/>
          <w:sz w:val="22"/>
          <w:szCs w:val="22"/>
        </w:rPr>
        <w:t xml:space="preserve">offsetting credit to equity. </w:t>
      </w:r>
    </w:p>
    <w:p w14:paraId="72DDCF01" w14:textId="77777777" w:rsidR="004736E5" w:rsidRPr="00500308" w:rsidRDefault="004736E5" w:rsidP="004736E5">
      <w:pPr>
        <w:spacing w:line="360" w:lineRule="auto"/>
        <w:rPr>
          <w:rFonts w:cs="Times New Roman"/>
          <w:sz w:val="22"/>
          <w:szCs w:val="22"/>
        </w:rPr>
      </w:pPr>
    </w:p>
    <w:p w14:paraId="425B4855" w14:textId="77777777" w:rsidR="004736E5" w:rsidRPr="00500308" w:rsidRDefault="004736E5" w:rsidP="004736E5">
      <w:pPr>
        <w:rPr>
          <w:rFonts w:cs="Times New Roman"/>
          <w:sz w:val="22"/>
          <w:szCs w:val="22"/>
        </w:rPr>
      </w:pPr>
    </w:p>
    <w:p w14:paraId="42F2BF2B" w14:textId="77777777" w:rsidR="004736E5" w:rsidRPr="00500308" w:rsidRDefault="004736E5" w:rsidP="004736E5">
      <w:pPr>
        <w:rPr>
          <w:rFonts w:cs="Times New Roman"/>
          <w:sz w:val="22"/>
          <w:szCs w:val="22"/>
        </w:rPr>
      </w:pPr>
    </w:p>
    <w:p w14:paraId="759CA9BD" w14:textId="77777777" w:rsidR="004736E5" w:rsidRPr="00500308" w:rsidRDefault="004736E5" w:rsidP="004736E5">
      <w:pPr>
        <w:rPr>
          <w:rFonts w:cs="Times New Roman"/>
          <w:sz w:val="22"/>
          <w:szCs w:val="22"/>
        </w:rPr>
      </w:pPr>
    </w:p>
    <w:p w14:paraId="16289EB0" w14:textId="77777777" w:rsidR="004736E5" w:rsidRPr="00500308" w:rsidRDefault="004736E5" w:rsidP="004736E5">
      <w:pPr>
        <w:rPr>
          <w:rFonts w:cs="Times New Roman"/>
          <w:sz w:val="22"/>
          <w:szCs w:val="22"/>
        </w:rPr>
      </w:pPr>
    </w:p>
    <w:p w14:paraId="2F5C967D" w14:textId="77777777" w:rsidR="004736E5" w:rsidRPr="00500308" w:rsidRDefault="004736E5" w:rsidP="004736E5">
      <w:pPr>
        <w:rPr>
          <w:rFonts w:cs="Times New Roman"/>
          <w:sz w:val="22"/>
          <w:szCs w:val="22"/>
        </w:rPr>
      </w:pPr>
    </w:p>
    <w:p w14:paraId="0E05F701" w14:textId="77777777" w:rsidR="004736E5" w:rsidRPr="00500308" w:rsidRDefault="004736E5" w:rsidP="004736E5">
      <w:pPr>
        <w:rPr>
          <w:rFonts w:cs="Times New Roman"/>
          <w:sz w:val="22"/>
          <w:szCs w:val="22"/>
        </w:rPr>
      </w:pPr>
    </w:p>
    <w:p w14:paraId="15E1A0AE" w14:textId="77777777" w:rsidR="004736E5" w:rsidRPr="00500308" w:rsidRDefault="004736E5" w:rsidP="004736E5">
      <w:pPr>
        <w:rPr>
          <w:rFonts w:cs="Times New Roman"/>
          <w:sz w:val="22"/>
          <w:szCs w:val="22"/>
        </w:rPr>
      </w:pPr>
    </w:p>
    <w:p w14:paraId="0BDDF959" w14:textId="77777777" w:rsidR="004736E5" w:rsidRPr="00500308" w:rsidRDefault="004736E5" w:rsidP="004736E5">
      <w:pPr>
        <w:rPr>
          <w:rFonts w:cs="Times New Roman"/>
          <w:sz w:val="22"/>
          <w:szCs w:val="22"/>
        </w:rPr>
      </w:pPr>
    </w:p>
    <w:p w14:paraId="5DB37F68" w14:textId="77777777" w:rsidR="004736E5" w:rsidRPr="00500308" w:rsidRDefault="004736E5" w:rsidP="004736E5">
      <w:pPr>
        <w:rPr>
          <w:rFonts w:cs="Times New Roman"/>
          <w:sz w:val="22"/>
          <w:szCs w:val="22"/>
        </w:rPr>
      </w:pPr>
    </w:p>
    <w:p w14:paraId="4A2B9BD6" w14:textId="77777777" w:rsidR="004736E5" w:rsidRPr="00500308" w:rsidRDefault="004736E5" w:rsidP="004736E5">
      <w:pPr>
        <w:rPr>
          <w:rFonts w:cs="Times New Roman"/>
          <w:sz w:val="22"/>
          <w:szCs w:val="22"/>
        </w:rPr>
      </w:pPr>
    </w:p>
    <w:p w14:paraId="06063F88" w14:textId="77777777" w:rsidR="004736E5" w:rsidRPr="00500308" w:rsidRDefault="004736E5" w:rsidP="004736E5">
      <w:pPr>
        <w:rPr>
          <w:rFonts w:cs="Times New Roman"/>
          <w:sz w:val="22"/>
          <w:szCs w:val="22"/>
        </w:rPr>
      </w:pPr>
    </w:p>
    <w:p w14:paraId="38BFEF44" w14:textId="77777777" w:rsidR="004736E5" w:rsidRPr="00500308" w:rsidRDefault="004736E5" w:rsidP="004736E5">
      <w:pPr>
        <w:rPr>
          <w:rFonts w:cs="Times New Roman"/>
          <w:sz w:val="22"/>
          <w:szCs w:val="22"/>
        </w:rPr>
      </w:pPr>
    </w:p>
    <w:p w14:paraId="364AD9A6" w14:textId="77777777" w:rsidR="004736E5" w:rsidRPr="00500308" w:rsidRDefault="004736E5" w:rsidP="004736E5">
      <w:pPr>
        <w:rPr>
          <w:rFonts w:cs="Times New Roman"/>
          <w:sz w:val="22"/>
          <w:szCs w:val="22"/>
        </w:rPr>
      </w:pPr>
    </w:p>
    <w:p w14:paraId="708C75E4" w14:textId="77777777" w:rsidR="004736E5" w:rsidRPr="00500308" w:rsidRDefault="004736E5" w:rsidP="004736E5">
      <w:pPr>
        <w:rPr>
          <w:rFonts w:cs="Times New Roman"/>
          <w:sz w:val="22"/>
          <w:szCs w:val="22"/>
        </w:rPr>
      </w:pPr>
    </w:p>
    <w:p w14:paraId="57939BB2" w14:textId="77777777" w:rsidR="004736E5" w:rsidRPr="00500308" w:rsidRDefault="004736E5" w:rsidP="004736E5">
      <w:pPr>
        <w:rPr>
          <w:rFonts w:cs="Times New Roman"/>
          <w:sz w:val="22"/>
          <w:szCs w:val="22"/>
        </w:rPr>
      </w:pPr>
    </w:p>
    <w:p w14:paraId="54C8DCD8" w14:textId="77777777" w:rsidR="004736E5" w:rsidRPr="00500308" w:rsidRDefault="004736E5" w:rsidP="004736E5">
      <w:pPr>
        <w:rPr>
          <w:rFonts w:cs="Times New Roman"/>
          <w:sz w:val="22"/>
          <w:szCs w:val="22"/>
        </w:rPr>
      </w:pPr>
    </w:p>
    <w:p w14:paraId="38CD3ADD" w14:textId="77777777" w:rsidR="004736E5" w:rsidRPr="00500308" w:rsidRDefault="004736E5" w:rsidP="004736E5">
      <w:pPr>
        <w:rPr>
          <w:rFonts w:cs="Times New Roman"/>
          <w:sz w:val="22"/>
          <w:szCs w:val="22"/>
        </w:rPr>
      </w:pPr>
    </w:p>
    <w:p w14:paraId="3457F572" w14:textId="77777777" w:rsidR="004736E5" w:rsidRPr="00500308" w:rsidRDefault="004736E5" w:rsidP="004736E5">
      <w:pPr>
        <w:rPr>
          <w:rFonts w:cs="Times New Roman"/>
          <w:sz w:val="22"/>
          <w:szCs w:val="22"/>
        </w:rPr>
      </w:pPr>
    </w:p>
    <w:p w14:paraId="2D6FE2FE" w14:textId="77777777" w:rsidR="004736E5" w:rsidRPr="00500308" w:rsidRDefault="004736E5" w:rsidP="004736E5">
      <w:pPr>
        <w:rPr>
          <w:rFonts w:cs="Times New Roman"/>
          <w:sz w:val="22"/>
          <w:szCs w:val="22"/>
        </w:rPr>
      </w:pPr>
    </w:p>
    <w:p w14:paraId="3863F62D" w14:textId="77777777" w:rsidR="004736E5" w:rsidRPr="00500308" w:rsidRDefault="004736E5" w:rsidP="004736E5">
      <w:pPr>
        <w:rPr>
          <w:rFonts w:cs="Times New Roman"/>
          <w:sz w:val="22"/>
          <w:szCs w:val="22"/>
        </w:rPr>
      </w:pPr>
    </w:p>
    <w:p w14:paraId="6DE7F642" w14:textId="77777777" w:rsidR="004736E5" w:rsidRPr="00500308" w:rsidRDefault="004736E5" w:rsidP="004736E5">
      <w:pPr>
        <w:rPr>
          <w:rFonts w:cs="Times New Roman"/>
          <w:sz w:val="22"/>
          <w:szCs w:val="22"/>
        </w:rPr>
      </w:pPr>
    </w:p>
    <w:p w14:paraId="76DF40FA" w14:textId="77777777" w:rsidR="004736E5" w:rsidRPr="00500308" w:rsidRDefault="004736E5" w:rsidP="004736E5">
      <w:pPr>
        <w:rPr>
          <w:rFonts w:cs="Times New Roman"/>
          <w:sz w:val="22"/>
          <w:szCs w:val="22"/>
        </w:rPr>
      </w:pPr>
    </w:p>
    <w:p w14:paraId="6DCCB286" w14:textId="77777777" w:rsidR="004736E5" w:rsidRPr="00500308" w:rsidRDefault="004736E5" w:rsidP="004736E5">
      <w:pPr>
        <w:rPr>
          <w:rFonts w:cs="Times New Roman"/>
          <w:sz w:val="22"/>
          <w:szCs w:val="22"/>
        </w:rPr>
      </w:pPr>
    </w:p>
    <w:p w14:paraId="60E9BAAF" w14:textId="77777777" w:rsidR="004736E5" w:rsidRPr="00500308" w:rsidRDefault="004736E5" w:rsidP="004736E5">
      <w:pPr>
        <w:rPr>
          <w:rFonts w:cs="Times New Roman"/>
          <w:sz w:val="22"/>
          <w:szCs w:val="22"/>
        </w:rPr>
      </w:pPr>
    </w:p>
    <w:p w14:paraId="01ABBD18" w14:textId="77777777" w:rsidR="004736E5" w:rsidRPr="00500308" w:rsidRDefault="004736E5" w:rsidP="004736E5">
      <w:pPr>
        <w:rPr>
          <w:rFonts w:cs="Times New Roman"/>
          <w:sz w:val="22"/>
          <w:szCs w:val="22"/>
        </w:rPr>
      </w:pPr>
    </w:p>
    <w:p w14:paraId="3481FC50" w14:textId="77777777" w:rsidR="004736E5" w:rsidRPr="00500308" w:rsidRDefault="004736E5" w:rsidP="004736E5">
      <w:pPr>
        <w:rPr>
          <w:rFonts w:cs="Times New Roman"/>
          <w:sz w:val="22"/>
          <w:szCs w:val="22"/>
        </w:rPr>
      </w:pPr>
    </w:p>
    <w:p w14:paraId="79B9648D" w14:textId="77777777" w:rsidR="004736E5" w:rsidRPr="00500308" w:rsidRDefault="004736E5" w:rsidP="004736E5">
      <w:pPr>
        <w:rPr>
          <w:rFonts w:cs="Times New Roman"/>
          <w:sz w:val="22"/>
          <w:szCs w:val="22"/>
        </w:rPr>
      </w:pPr>
    </w:p>
    <w:p w14:paraId="58535DBF" w14:textId="77777777" w:rsidR="004736E5" w:rsidRPr="00500308" w:rsidRDefault="004736E5" w:rsidP="004736E5">
      <w:pPr>
        <w:rPr>
          <w:rFonts w:cs="Times New Roman"/>
          <w:sz w:val="22"/>
          <w:szCs w:val="22"/>
        </w:rPr>
      </w:pPr>
    </w:p>
    <w:p w14:paraId="11405137" w14:textId="77777777" w:rsidR="004736E5" w:rsidRPr="00500308" w:rsidRDefault="004736E5" w:rsidP="004736E5">
      <w:pPr>
        <w:rPr>
          <w:rFonts w:cs="Times New Roman"/>
          <w:sz w:val="22"/>
          <w:szCs w:val="22"/>
        </w:rPr>
      </w:pPr>
    </w:p>
    <w:p w14:paraId="6B7862E0" w14:textId="77777777" w:rsidR="004736E5" w:rsidRPr="00500308" w:rsidRDefault="004736E5" w:rsidP="004736E5">
      <w:pPr>
        <w:rPr>
          <w:rFonts w:cs="Times New Roman"/>
          <w:sz w:val="22"/>
          <w:szCs w:val="22"/>
        </w:rPr>
      </w:pPr>
    </w:p>
    <w:p w14:paraId="0476188D" w14:textId="77777777" w:rsidR="004736E5" w:rsidRPr="00500308" w:rsidRDefault="004736E5" w:rsidP="004736E5">
      <w:pPr>
        <w:rPr>
          <w:rFonts w:cs="Times New Roman"/>
          <w:sz w:val="22"/>
          <w:szCs w:val="22"/>
        </w:rPr>
      </w:pPr>
    </w:p>
    <w:p w14:paraId="41987F5D" w14:textId="77777777" w:rsidR="004736E5" w:rsidRPr="00500308" w:rsidRDefault="004736E5" w:rsidP="004736E5">
      <w:pPr>
        <w:rPr>
          <w:rFonts w:cs="Times New Roman"/>
          <w:sz w:val="22"/>
          <w:szCs w:val="22"/>
        </w:rPr>
      </w:pPr>
    </w:p>
    <w:p w14:paraId="7D530C7C" w14:textId="77777777" w:rsidR="00F073A0" w:rsidRDefault="00F073A0">
      <w:pPr>
        <w:rPr>
          <w:rFonts w:cs="Times New Roman"/>
          <w:sz w:val="22"/>
          <w:szCs w:val="22"/>
          <w:u w:val="single"/>
        </w:rPr>
      </w:pPr>
      <w:r>
        <w:rPr>
          <w:rFonts w:cs="Times New Roman"/>
          <w:sz w:val="22"/>
          <w:szCs w:val="22"/>
          <w:u w:val="single"/>
        </w:rPr>
        <w:br w:type="page"/>
      </w:r>
    </w:p>
    <w:p w14:paraId="589437BF" w14:textId="34D8D43E" w:rsidR="004736E5" w:rsidRPr="00D63E6D" w:rsidRDefault="004736E5" w:rsidP="00D63E6D">
      <w:pPr>
        <w:tabs>
          <w:tab w:val="left" w:pos="3204"/>
        </w:tabs>
        <w:jc w:val="center"/>
        <w:rPr>
          <w:rFonts w:cs="Times New Roman"/>
          <w:sz w:val="22"/>
          <w:szCs w:val="22"/>
        </w:rPr>
      </w:pPr>
      <w:r w:rsidRPr="00500308">
        <w:rPr>
          <w:rFonts w:cs="Times New Roman"/>
          <w:sz w:val="22"/>
          <w:szCs w:val="22"/>
          <w:u w:val="single"/>
        </w:rPr>
        <w:lastRenderedPageBreak/>
        <w:t>Work</w:t>
      </w:r>
      <w:r w:rsidR="006369B9">
        <w:rPr>
          <w:rFonts w:cs="Times New Roman"/>
          <w:sz w:val="22"/>
          <w:szCs w:val="22"/>
          <w:u w:val="single"/>
        </w:rPr>
        <w:t>s</w:t>
      </w:r>
      <w:r w:rsidRPr="00500308">
        <w:rPr>
          <w:rFonts w:cs="Times New Roman"/>
          <w:sz w:val="22"/>
          <w:szCs w:val="22"/>
          <w:u w:val="single"/>
        </w:rPr>
        <w:t xml:space="preserve"> Cited</w:t>
      </w:r>
    </w:p>
    <w:p w14:paraId="492B86F5" w14:textId="77777777" w:rsidR="004736E5" w:rsidRPr="00500308" w:rsidRDefault="004736E5" w:rsidP="004736E5">
      <w:pPr>
        <w:tabs>
          <w:tab w:val="left" w:pos="3204"/>
        </w:tabs>
        <w:jc w:val="center"/>
        <w:rPr>
          <w:rFonts w:cs="Times New Roman"/>
          <w:sz w:val="22"/>
          <w:szCs w:val="22"/>
          <w:u w:val="single"/>
        </w:rPr>
      </w:pPr>
    </w:p>
    <w:p w14:paraId="25E5466A" w14:textId="77777777" w:rsidR="004736E5" w:rsidRPr="00500308" w:rsidRDefault="004736E5" w:rsidP="004736E5">
      <w:pPr>
        <w:tabs>
          <w:tab w:val="left" w:pos="3204"/>
        </w:tabs>
        <w:jc w:val="center"/>
        <w:rPr>
          <w:rFonts w:cs="Times New Roman"/>
          <w:sz w:val="22"/>
          <w:szCs w:val="22"/>
          <w:u w:val="single"/>
        </w:rPr>
      </w:pPr>
    </w:p>
    <w:p w14:paraId="7328236C" w14:textId="77777777" w:rsidR="004736E5" w:rsidRPr="00500308" w:rsidRDefault="004736E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sz w:val="22"/>
          <w:szCs w:val="22"/>
        </w:rPr>
      </w:pPr>
    </w:p>
    <w:p w14:paraId="65E3DA4C" w14:textId="3A6500E7" w:rsidR="004736E5" w:rsidRPr="0074180A" w:rsidRDefault="004736E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sz w:val="22"/>
          <w:szCs w:val="22"/>
        </w:rPr>
      </w:pPr>
      <w:r w:rsidRPr="0074180A">
        <w:rPr>
          <w:rFonts w:cs="Times New Roman"/>
          <w:sz w:val="22"/>
          <w:szCs w:val="22"/>
        </w:rPr>
        <w:t xml:space="preserve">“ASC Section 470-50-40 Debt Extinguishment between Related </w:t>
      </w:r>
      <w:r w:rsidR="00566488" w:rsidRPr="0074180A">
        <w:rPr>
          <w:rFonts w:cs="Times New Roman"/>
          <w:sz w:val="22"/>
          <w:szCs w:val="22"/>
        </w:rPr>
        <w:t>Parties.</w:t>
      </w:r>
      <w:r w:rsidRPr="0074180A">
        <w:rPr>
          <w:rFonts w:cs="Times New Roman"/>
          <w:sz w:val="22"/>
          <w:szCs w:val="22"/>
        </w:rPr>
        <w:t xml:space="preserve">” FASB Accounting Standards Codification®, FASB, </w:t>
      </w:r>
      <w:hyperlink r:id="rId7" w:history="1">
        <w:r w:rsidRPr="0074180A">
          <w:rPr>
            <w:rFonts w:cs="Times New Roman"/>
            <w:sz w:val="22"/>
            <w:szCs w:val="22"/>
            <w:u w:val="single"/>
          </w:rPr>
          <w:t>asc.fasb.org/print&amp;rendercmd=section&amp;trid=2208712</w:t>
        </w:r>
      </w:hyperlink>
      <w:r w:rsidRPr="0074180A">
        <w:rPr>
          <w:rFonts w:cs="Times New Roman"/>
          <w:sz w:val="22"/>
          <w:szCs w:val="22"/>
        </w:rPr>
        <w:t>.</w:t>
      </w:r>
    </w:p>
    <w:p w14:paraId="649F4C1F" w14:textId="77777777" w:rsidR="00F073A0" w:rsidRPr="0074180A" w:rsidRDefault="00F073A0"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sz w:val="22"/>
          <w:szCs w:val="22"/>
        </w:rPr>
      </w:pPr>
    </w:p>
    <w:p w14:paraId="6A023AA0" w14:textId="59D68C58" w:rsidR="00566488" w:rsidRDefault="00F073A0" w:rsidP="00566488">
      <w:pPr>
        <w:pStyle w:val="FootnoteText"/>
        <w:rPr>
          <w:rFonts w:cs="Times New Roman"/>
          <w:iCs/>
          <w:color w:val="444444"/>
          <w:sz w:val="22"/>
          <w:szCs w:val="22"/>
        </w:rPr>
      </w:pPr>
      <w:r w:rsidRPr="0074180A">
        <w:rPr>
          <w:rFonts w:cs="Times New Roman"/>
          <w:sz w:val="22"/>
          <w:szCs w:val="22"/>
        </w:rPr>
        <w:t>ASU 2015-01</w:t>
      </w:r>
      <w:r w:rsidR="00566488" w:rsidRPr="00566488">
        <w:rPr>
          <w:rFonts w:cs="Times New Roman"/>
          <w:i/>
          <w:iCs/>
          <w:color w:val="444444"/>
          <w:sz w:val="22"/>
          <w:szCs w:val="22"/>
        </w:rPr>
        <w:t xml:space="preserve"> </w:t>
      </w:r>
      <w:r w:rsidR="00566488" w:rsidRPr="00077248">
        <w:rPr>
          <w:rFonts w:cs="Times New Roman"/>
          <w:i/>
          <w:iCs/>
          <w:color w:val="444444"/>
          <w:sz w:val="22"/>
          <w:szCs w:val="22"/>
        </w:rPr>
        <w:t>Income Statement—Extraordinary and Unusual Items (Subtopic 225-20), Simplifying Income Statement Presentation by Eliminating the Concept of Extraordinary Items</w:t>
      </w:r>
      <w:r w:rsidR="00566488">
        <w:rPr>
          <w:rFonts w:cs="Times New Roman"/>
          <w:i/>
          <w:iCs/>
          <w:color w:val="444444"/>
          <w:sz w:val="22"/>
          <w:szCs w:val="22"/>
        </w:rPr>
        <w:t xml:space="preserve">. </w:t>
      </w:r>
      <w:r w:rsidR="00566488" w:rsidRPr="00566488">
        <w:rPr>
          <w:rFonts w:cs="Times New Roman"/>
          <w:iCs/>
          <w:color w:val="444444"/>
          <w:sz w:val="22"/>
          <w:szCs w:val="22"/>
        </w:rPr>
        <w:t>FASB</w:t>
      </w:r>
      <w:r w:rsidR="00566488">
        <w:rPr>
          <w:rFonts w:cs="Times New Roman"/>
          <w:iCs/>
          <w:color w:val="444444"/>
          <w:sz w:val="22"/>
          <w:szCs w:val="22"/>
        </w:rPr>
        <w:t xml:space="preserve">, </w:t>
      </w:r>
      <w:hyperlink r:id="rId8" w:history="1">
        <w:r w:rsidR="00566488" w:rsidRPr="00A04FAA">
          <w:rPr>
            <w:rStyle w:val="Hyperlink"/>
            <w:rFonts w:cs="Times New Roman"/>
            <w:iCs/>
            <w:sz w:val="22"/>
            <w:szCs w:val="22"/>
          </w:rPr>
          <w:t>https://www.fasb.org/jsp/FASB/Document_C/DocumentPage?cid=1176164695031&amp;acceptedDisclaimer=true</w:t>
        </w:r>
      </w:hyperlink>
    </w:p>
    <w:p w14:paraId="713A7D62" w14:textId="77777777" w:rsidR="004736E5" w:rsidRPr="0074180A" w:rsidRDefault="004736E5" w:rsidP="004736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sz w:val="22"/>
          <w:szCs w:val="22"/>
        </w:rPr>
      </w:pPr>
    </w:p>
    <w:p w14:paraId="6BE90864" w14:textId="77777777" w:rsidR="004736E5" w:rsidRPr="0074180A" w:rsidRDefault="004736E5" w:rsidP="004736E5">
      <w:pPr>
        <w:tabs>
          <w:tab w:val="left" w:pos="3204"/>
        </w:tabs>
        <w:rPr>
          <w:rFonts w:cs="Times New Roman"/>
          <w:sz w:val="22"/>
          <w:szCs w:val="22"/>
        </w:rPr>
      </w:pPr>
      <w:r w:rsidRPr="0074180A">
        <w:rPr>
          <w:rFonts w:cs="Times New Roman"/>
          <w:sz w:val="22"/>
          <w:szCs w:val="22"/>
        </w:rPr>
        <w:t xml:space="preserve">Lange, Cary. “Debt Restructurings in Nontroubled Situations: Carefully Navigating the Relevant Guidance”, The CPA Journal, </w:t>
      </w:r>
      <w:hyperlink r:id="rId9" w:history="1">
        <w:r w:rsidR="00500308" w:rsidRPr="0074180A">
          <w:rPr>
            <w:rStyle w:val="Hyperlink"/>
            <w:rFonts w:cs="Times New Roman"/>
            <w:sz w:val="22"/>
            <w:szCs w:val="22"/>
          </w:rPr>
          <w:t>www.researchgate.net/publication/264992368_Debt_Restructurings_in_Nontroubled_Situations_Carefully_Navigating_the_Relevant_Guidance</w:t>
        </w:r>
      </w:hyperlink>
      <w:r w:rsidRPr="0074180A">
        <w:rPr>
          <w:rFonts w:cs="Times New Roman"/>
          <w:sz w:val="22"/>
          <w:szCs w:val="22"/>
        </w:rPr>
        <w:t>.</w:t>
      </w:r>
    </w:p>
    <w:p w14:paraId="65F3E4D4" w14:textId="77777777" w:rsidR="00500308" w:rsidRPr="0074180A" w:rsidRDefault="00500308" w:rsidP="004736E5">
      <w:pPr>
        <w:tabs>
          <w:tab w:val="left" w:pos="3204"/>
        </w:tabs>
        <w:rPr>
          <w:rFonts w:cs="Times New Roman"/>
          <w:sz w:val="22"/>
          <w:szCs w:val="22"/>
        </w:rPr>
      </w:pPr>
    </w:p>
    <w:p w14:paraId="243D7431" w14:textId="36732918" w:rsidR="00F073A0" w:rsidRPr="0074180A" w:rsidRDefault="00F073A0" w:rsidP="00F073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sz w:val="22"/>
          <w:szCs w:val="22"/>
        </w:rPr>
      </w:pPr>
      <w:proofErr w:type="spellStart"/>
      <w:r w:rsidRPr="0074180A">
        <w:rPr>
          <w:rFonts w:cs="Times New Roman"/>
          <w:sz w:val="22"/>
          <w:szCs w:val="22"/>
        </w:rPr>
        <w:t>Pucek</w:t>
      </w:r>
      <w:proofErr w:type="spellEnd"/>
      <w:r w:rsidRPr="0074180A">
        <w:rPr>
          <w:rFonts w:cs="Times New Roman"/>
          <w:sz w:val="22"/>
          <w:szCs w:val="22"/>
        </w:rPr>
        <w:t xml:space="preserve">, Ralph, and Richards, Glenn. “What's a little debt between friends?” Journal of Accountancy, Journal of </w:t>
      </w:r>
      <w:r w:rsidR="00566488" w:rsidRPr="0074180A">
        <w:rPr>
          <w:rFonts w:cs="Times New Roman"/>
          <w:sz w:val="22"/>
          <w:szCs w:val="22"/>
        </w:rPr>
        <w:t>Accountancy,</w:t>
      </w:r>
      <w:r w:rsidRPr="0074180A">
        <w:rPr>
          <w:rFonts w:cs="Times New Roman"/>
          <w:sz w:val="22"/>
          <w:szCs w:val="22"/>
        </w:rPr>
        <w:t xml:space="preserve"> 1 June 2013, </w:t>
      </w:r>
      <w:hyperlink r:id="rId10" w:history="1">
        <w:r w:rsidRPr="0074180A">
          <w:rPr>
            <w:rFonts w:cs="Times New Roman"/>
            <w:sz w:val="22"/>
            <w:szCs w:val="22"/>
            <w:u w:val="single"/>
          </w:rPr>
          <w:t>www.journalofaccountancy.com/issues/2013/jun/20126740.html</w:t>
        </w:r>
      </w:hyperlink>
      <w:r w:rsidRPr="0074180A">
        <w:rPr>
          <w:rFonts w:cs="Times New Roman"/>
          <w:sz w:val="22"/>
          <w:szCs w:val="22"/>
        </w:rPr>
        <w:t>.</w:t>
      </w:r>
    </w:p>
    <w:p w14:paraId="1265C2DE" w14:textId="77777777" w:rsidR="00F073A0" w:rsidRPr="0074180A" w:rsidRDefault="00F073A0" w:rsidP="004736E5">
      <w:pPr>
        <w:tabs>
          <w:tab w:val="left" w:pos="3204"/>
        </w:tabs>
        <w:rPr>
          <w:rFonts w:cs="Times New Roman"/>
          <w:sz w:val="22"/>
          <w:szCs w:val="22"/>
        </w:rPr>
      </w:pPr>
    </w:p>
    <w:p w14:paraId="589E86A2" w14:textId="32B3234D" w:rsidR="00500308" w:rsidRPr="00566488" w:rsidRDefault="00500308" w:rsidP="00500308">
      <w:pPr>
        <w:rPr>
          <w:rFonts w:eastAsia="Times New Roman" w:cs="Times New Roman"/>
          <w:sz w:val="22"/>
          <w:szCs w:val="22"/>
          <w:shd w:val="clear" w:color="auto" w:fill="FFE7AF"/>
        </w:rPr>
      </w:pPr>
      <w:r w:rsidRPr="00566488">
        <w:rPr>
          <w:rFonts w:eastAsia="Times New Roman" w:cs="Times New Roman"/>
          <w:sz w:val="22"/>
          <w:szCs w:val="22"/>
          <w:shd w:val="clear" w:color="auto" w:fill="FFE7AF"/>
        </w:rPr>
        <w:t>Reuters, Thompson. “SELF STUDY CONTINUING PROFESSIONAL EDUCATION Companion to PPC's Guide to Preparing Financial Statements.” </w:t>
      </w:r>
      <w:r w:rsidRPr="00566488">
        <w:rPr>
          <w:rFonts w:eastAsia="Times New Roman" w:cs="Times New Roman"/>
          <w:i/>
          <w:iCs/>
          <w:sz w:val="22"/>
          <w:szCs w:val="22"/>
          <w:shd w:val="clear" w:color="auto" w:fill="FFE7AF"/>
        </w:rPr>
        <w:t>Companion to PPC's Guide to Preparing Financial Statements</w:t>
      </w:r>
      <w:r w:rsidRPr="00566488">
        <w:rPr>
          <w:rFonts w:eastAsia="Times New Roman" w:cs="Times New Roman"/>
          <w:sz w:val="22"/>
          <w:szCs w:val="22"/>
          <w:shd w:val="clear" w:color="auto" w:fill="FFE7AF"/>
        </w:rPr>
        <w:t>.</w:t>
      </w:r>
      <w:r w:rsidR="00566488" w:rsidRPr="00566488">
        <w:t xml:space="preserve"> </w:t>
      </w:r>
      <w:hyperlink r:id="rId11" w:history="1">
        <w:r w:rsidR="00566488" w:rsidRPr="00566488">
          <w:rPr>
            <w:rStyle w:val="Hyperlink"/>
            <w:rFonts w:eastAsia="Times New Roman" w:cs="Times New Roman"/>
            <w:color w:val="auto"/>
            <w:sz w:val="22"/>
            <w:szCs w:val="22"/>
            <w:shd w:val="clear" w:color="auto" w:fill="FFE7AF"/>
          </w:rPr>
          <w:t>https://store.tax.thomsonreuters.com/accounting/Audit-and-Accounting/PPCs-Guide-to-Preparing-Financial-Statements/p/100200154</w:t>
        </w:r>
      </w:hyperlink>
    </w:p>
    <w:p w14:paraId="3BF7AFAB" w14:textId="77777777" w:rsidR="00566488" w:rsidRPr="00F073A0" w:rsidRDefault="00566488" w:rsidP="00500308">
      <w:pPr>
        <w:rPr>
          <w:rFonts w:eastAsia="Times New Roman" w:cs="Times New Roman"/>
          <w:color w:val="333333"/>
          <w:sz w:val="22"/>
          <w:szCs w:val="22"/>
          <w:shd w:val="clear" w:color="auto" w:fill="FFE7AF"/>
        </w:rPr>
      </w:pPr>
    </w:p>
    <w:p w14:paraId="549FEB16" w14:textId="77777777" w:rsidR="00500308" w:rsidRPr="00500308" w:rsidRDefault="00500308" w:rsidP="00500308">
      <w:pPr>
        <w:rPr>
          <w:rFonts w:eastAsia="Times New Roman" w:cs="Times New Roman"/>
          <w:color w:val="333333"/>
          <w:sz w:val="22"/>
          <w:szCs w:val="22"/>
          <w:shd w:val="clear" w:color="auto" w:fill="FFE7AF"/>
        </w:rPr>
      </w:pPr>
    </w:p>
    <w:p w14:paraId="160A9CF6" w14:textId="77777777" w:rsidR="00500308" w:rsidRPr="00500308" w:rsidRDefault="00500308" w:rsidP="00500308">
      <w:pPr>
        <w:rPr>
          <w:rFonts w:eastAsia="Times New Roman" w:cs="Times New Roman"/>
          <w:sz w:val="22"/>
          <w:szCs w:val="22"/>
        </w:rPr>
      </w:pPr>
    </w:p>
    <w:p w14:paraId="30344769" w14:textId="77777777" w:rsidR="00500308" w:rsidRPr="00500308" w:rsidRDefault="00500308" w:rsidP="004736E5">
      <w:pPr>
        <w:tabs>
          <w:tab w:val="left" w:pos="3204"/>
        </w:tabs>
        <w:rPr>
          <w:rFonts w:cs="Times New Roman"/>
          <w:sz w:val="22"/>
          <w:szCs w:val="22"/>
          <w:u w:val="single"/>
        </w:rPr>
      </w:pPr>
    </w:p>
    <w:sectPr w:rsidR="00500308" w:rsidRPr="00500308" w:rsidSect="00F073A0">
      <w:pgSz w:w="12240" w:h="15840"/>
      <w:pgMar w:top="1440" w:right="126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8BA00" w14:textId="77777777" w:rsidR="001E7435" w:rsidRDefault="001E7435" w:rsidP="00D44AD5">
      <w:r>
        <w:separator/>
      </w:r>
    </w:p>
  </w:endnote>
  <w:endnote w:type="continuationSeparator" w:id="0">
    <w:p w14:paraId="35766B6C" w14:textId="77777777" w:rsidR="001E7435" w:rsidRDefault="001E7435" w:rsidP="00D44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D5F5E" w14:textId="77777777" w:rsidR="001E7435" w:rsidRDefault="001E7435" w:rsidP="00D44AD5">
      <w:r>
        <w:separator/>
      </w:r>
    </w:p>
  </w:footnote>
  <w:footnote w:type="continuationSeparator" w:id="0">
    <w:p w14:paraId="7E6C08AF" w14:textId="77777777" w:rsidR="001E7435" w:rsidRDefault="001E7435" w:rsidP="00D44AD5">
      <w:r>
        <w:continuationSeparator/>
      </w:r>
    </w:p>
  </w:footnote>
  <w:footnote w:id="1">
    <w:p w14:paraId="614674F1" w14:textId="02CB891B" w:rsidR="00063B1A" w:rsidRPr="004736E5" w:rsidRDefault="00063B1A" w:rsidP="008F2BA4">
      <w:pPr>
        <w:pStyle w:val="FootnoteText"/>
        <w:rPr>
          <w:sz w:val="22"/>
          <w:szCs w:val="22"/>
        </w:rPr>
      </w:pPr>
      <w:r>
        <w:rPr>
          <w:rStyle w:val="FootnoteReference"/>
        </w:rPr>
        <w:footnoteRef/>
      </w:r>
      <w:r>
        <w:t xml:space="preserve"> </w:t>
      </w:r>
      <w:proofErr w:type="spellStart"/>
      <w:r w:rsidRPr="004736E5">
        <w:rPr>
          <w:rFonts w:cs="Times New Roman"/>
          <w:sz w:val="22"/>
          <w:szCs w:val="22"/>
        </w:rPr>
        <w:t>Pucek</w:t>
      </w:r>
      <w:proofErr w:type="spellEnd"/>
      <w:r w:rsidRPr="004736E5">
        <w:rPr>
          <w:rFonts w:cs="Times New Roman"/>
          <w:sz w:val="22"/>
          <w:szCs w:val="22"/>
        </w:rPr>
        <w:t xml:space="preserve">, Ralph, and </w:t>
      </w:r>
      <w:r w:rsidR="00077248">
        <w:rPr>
          <w:rFonts w:cs="Times New Roman"/>
          <w:sz w:val="22"/>
          <w:szCs w:val="22"/>
        </w:rPr>
        <w:t>Richards, Glenn</w:t>
      </w:r>
      <w:r w:rsidRPr="004736E5">
        <w:rPr>
          <w:rFonts w:cs="Times New Roman"/>
          <w:sz w:val="22"/>
          <w:szCs w:val="22"/>
        </w:rPr>
        <w:t xml:space="preserve">. “What's a little debt between friends?” Journal of Accountancy, Journal of </w:t>
      </w:r>
      <w:proofErr w:type="gramStart"/>
      <w:r w:rsidRPr="004736E5">
        <w:rPr>
          <w:rFonts w:cs="Times New Roman"/>
          <w:sz w:val="22"/>
          <w:szCs w:val="22"/>
        </w:rPr>
        <w:t>Accountancy ,</w:t>
      </w:r>
      <w:proofErr w:type="gramEnd"/>
      <w:r w:rsidRPr="004736E5">
        <w:rPr>
          <w:rFonts w:cs="Times New Roman"/>
          <w:sz w:val="22"/>
          <w:szCs w:val="22"/>
        </w:rPr>
        <w:t xml:space="preserve"> 1 June 2013, </w:t>
      </w:r>
      <w:hyperlink r:id="rId1" w:history="1">
        <w:r w:rsidRPr="004736E5">
          <w:rPr>
            <w:rFonts w:cs="Times New Roman"/>
            <w:sz w:val="22"/>
            <w:szCs w:val="22"/>
            <w:u w:val="single"/>
          </w:rPr>
          <w:t>www.journalofaccountancy.com/issues/2013/jun/20126740.html</w:t>
        </w:r>
      </w:hyperlink>
      <w:r w:rsidRPr="004736E5">
        <w:rPr>
          <w:rFonts w:cs="Times New Roman"/>
          <w:sz w:val="22"/>
          <w:szCs w:val="22"/>
        </w:rPr>
        <w:t>.</w:t>
      </w:r>
    </w:p>
    <w:p w14:paraId="67012A73" w14:textId="77777777" w:rsidR="00063B1A" w:rsidRDefault="00063B1A">
      <w:pPr>
        <w:pStyle w:val="FootnoteText"/>
      </w:pPr>
    </w:p>
  </w:footnote>
  <w:footnote w:id="2">
    <w:p w14:paraId="32C66302" w14:textId="2FC54871" w:rsidR="00063B1A" w:rsidRDefault="00063B1A" w:rsidP="008F2BA4">
      <w:pPr>
        <w:pStyle w:val="FootnoteText"/>
        <w:rPr>
          <w:rFonts w:cs="Times New Roman"/>
          <w:sz w:val="22"/>
          <w:szCs w:val="22"/>
        </w:rPr>
      </w:pPr>
      <w:r w:rsidRPr="004736E5">
        <w:rPr>
          <w:rStyle w:val="FootnoteReference"/>
          <w:sz w:val="22"/>
          <w:szCs w:val="22"/>
        </w:rPr>
        <w:footnoteRef/>
      </w:r>
      <w:r w:rsidRPr="004736E5">
        <w:rPr>
          <w:sz w:val="22"/>
          <w:szCs w:val="22"/>
        </w:rPr>
        <w:t xml:space="preserve"> </w:t>
      </w:r>
      <w:r w:rsidRPr="004736E5">
        <w:rPr>
          <w:rFonts w:cs="Times New Roman"/>
          <w:sz w:val="22"/>
          <w:szCs w:val="22"/>
        </w:rPr>
        <w:t xml:space="preserve">Lange, Cary. “Debt Restructurings in Nontroubled Situations: Carefully Navigating the Relevant Guidance”, The CPA Journal, </w:t>
      </w:r>
      <w:hyperlink r:id="rId2" w:history="1">
        <w:r w:rsidR="00F073A0" w:rsidRPr="00A04FAA">
          <w:rPr>
            <w:rStyle w:val="Hyperlink"/>
            <w:rFonts w:cs="Times New Roman"/>
            <w:sz w:val="22"/>
            <w:szCs w:val="22"/>
          </w:rPr>
          <w:t>www.researchgate.net/publication/264992368_Debt_Restructurings_in_Nontroubled_Situations_Carefully_Navigating_the_Relevant_Guidance</w:t>
        </w:r>
      </w:hyperlink>
      <w:r w:rsidRPr="004736E5">
        <w:rPr>
          <w:rFonts w:cs="Times New Roman"/>
          <w:sz w:val="22"/>
          <w:szCs w:val="22"/>
        </w:rPr>
        <w:t>.</w:t>
      </w:r>
    </w:p>
    <w:p w14:paraId="1518AC97" w14:textId="38ED8088" w:rsidR="00077248" w:rsidRPr="004736E5" w:rsidRDefault="00077248" w:rsidP="008F2BA4">
      <w:pPr>
        <w:pStyle w:val="FootnoteText"/>
        <w:rPr>
          <w:sz w:val="22"/>
          <w:szCs w:val="22"/>
        </w:rPr>
      </w:pPr>
      <w:r w:rsidRPr="0074180A">
        <w:rPr>
          <w:rFonts w:cs="Times New Roman"/>
          <w:sz w:val="22"/>
          <w:szCs w:val="22"/>
          <w:vertAlign w:val="superscript"/>
        </w:rPr>
        <w:t>3</w:t>
      </w:r>
      <w:r>
        <w:rPr>
          <w:rFonts w:cs="Times New Roman"/>
          <w:sz w:val="22"/>
          <w:szCs w:val="22"/>
        </w:rPr>
        <w:t xml:space="preserve"> </w:t>
      </w:r>
      <w:r w:rsidRPr="00077248">
        <w:rPr>
          <w:rFonts w:cs="Times New Roman"/>
          <w:sz w:val="22"/>
          <w:szCs w:val="22"/>
        </w:rPr>
        <w:t xml:space="preserve">FASB Accounting Standards Update </w:t>
      </w:r>
      <w:r w:rsidRPr="00077248">
        <w:rPr>
          <w:rFonts w:cs="Times New Roman"/>
          <w:color w:val="444444"/>
          <w:sz w:val="22"/>
          <w:szCs w:val="22"/>
        </w:rPr>
        <w:t xml:space="preserve">No. </w:t>
      </w:r>
      <w:hyperlink r:id="rId3" w:tgtFrame="_blank" w:history="1">
        <w:r w:rsidRPr="00077248">
          <w:rPr>
            <w:rFonts w:cs="Times New Roman"/>
            <w:color w:val="428BCA"/>
            <w:sz w:val="22"/>
            <w:szCs w:val="22"/>
          </w:rPr>
          <w:t>2015-01</w:t>
        </w:r>
      </w:hyperlink>
      <w:r w:rsidRPr="00077248">
        <w:rPr>
          <w:rFonts w:cs="Times New Roman"/>
          <w:color w:val="444444"/>
          <w:sz w:val="22"/>
          <w:szCs w:val="22"/>
        </w:rPr>
        <w:t xml:space="preserve">, </w:t>
      </w:r>
      <w:r w:rsidRPr="00077248">
        <w:rPr>
          <w:rFonts w:cs="Times New Roman"/>
          <w:i/>
          <w:iCs/>
          <w:color w:val="444444"/>
          <w:sz w:val="22"/>
          <w:szCs w:val="22"/>
        </w:rPr>
        <w:t>Income Statement—Extraordinary and Unusual Items (Subtopic 225-20), Simplifying Income Statement Presentation by Eliminating the Concept of Extraordinary Items</w:t>
      </w:r>
    </w:p>
  </w:footnote>
  <w:footnote w:id="3">
    <w:p w14:paraId="7FD10669" w14:textId="73F538E3" w:rsidR="00063B1A" w:rsidRDefault="00077248" w:rsidP="008F2BA4">
      <w:pPr>
        <w:pStyle w:val="FootnoteText"/>
      </w:pPr>
      <w:r>
        <w:rPr>
          <w:rStyle w:val="FootnoteReference"/>
          <w:sz w:val="22"/>
          <w:szCs w:val="22"/>
        </w:rPr>
        <w:t>4</w:t>
      </w:r>
      <w:r w:rsidR="00063B1A" w:rsidRPr="004736E5">
        <w:rPr>
          <w:sz w:val="22"/>
          <w:szCs w:val="22"/>
        </w:rPr>
        <w:t xml:space="preserve"> </w:t>
      </w:r>
      <w:r w:rsidR="0074180A">
        <w:rPr>
          <w:sz w:val="22"/>
          <w:szCs w:val="22"/>
        </w:rPr>
        <w:t xml:space="preserve">FASB </w:t>
      </w:r>
      <w:r w:rsidR="00063B1A" w:rsidRPr="004736E5">
        <w:rPr>
          <w:rFonts w:cs="Times New Roman"/>
          <w:sz w:val="22"/>
          <w:szCs w:val="22"/>
        </w:rPr>
        <w:t>“A</w:t>
      </w:r>
      <w:r w:rsidR="0074180A">
        <w:rPr>
          <w:rFonts w:cs="Times New Roman"/>
          <w:sz w:val="22"/>
          <w:szCs w:val="22"/>
        </w:rPr>
        <w:t xml:space="preserve">ccounting </w:t>
      </w:r>
      <w:r w:rsidR="00063B1A" w:rsidRPr="004736E5">
        <w:rPr>
          <w:rFonts w:cs="Times New Roman"/>
          <w:sz w:val="22"/>
          <w:szCs w:val="22"/>
        </w:rPr>
        <w:t>S</w:t>
      </w:r>
      <w:r w:rsidR="0074180A">
        <w:rPr>
          <w:rFonts w:cs="Times New Roman"/>
          <w:sz w:val="22"/>
          <w:szCs w:val="22"/>
        </w:rPr>
        <w:t xml:space="preserve">tandards </w:t>
      </w:r>
      <w:r w:rsidR="00063B1A" w:rsidRPr="004736E5">
        <w:rPr>
          <w:rFonts w:cs="Times New Roman"/>
          <w:sz w:val="22"/>
          <w:szCs w:val="22"/>
        </w:rPr>
        <w:t>C</w:t>
      </w:r>
      <w:r w:rsidR="0074180A">
        <w:rPr>
          <w:rFonts w:cs="Times New Roman"/>
          <w:sz w:val="22"/>
          <w:szCs w:val="22"/>
        </w:rPr>
        <w:t>odification</w:t>
      </w:r>
      <w:r w:rsidR="00063B1A" w:rsidRPr="004736E5">
        <w:rPr>
          <w:rFonts w:cs="Times New Roman"/>
          <w:sz w:val="22"/>
          <w:szCs w:val="22"/>
        </w:rPr>
        <w:t xml:space="preserve"> </w:t>
      </w:r>
      <w:r w:rsidR="00063B1A" w:rsidRPr="0074180A">
        <w:rPr>
          <w:rFonts w:cs="Times New Roman"/>
          <w:i/>
          <w:sz w:val="22"/>
          <w:szCs w:val="22"/>
        </w:rPr>
        <w:t xml:space="preserve">Section 470-50-40 Debt Extinguishment between Related </w:t>
      </w:r>
      <w:proofErr w:type="gramStart"/>
      <w:r w:rsidR="00063B1A" w:rsidRPr="0074180A">
        <w:rPr>
          <w:rFonts w:cs="Times New Roman"/>
          <w:i/>
          <w:sz w:val="22"/>
          <w:szCs w:val="22"/>
        </w:rPr>
        <w:t>Parties .</w:t>
      </w:r>
      <w:r w:rsidR="00063B1A" w:rsidRPr="004736E5">
        <w:rPr>
          <w:rFonts w:cs="Times New Roman"/>
          <w:sz w:val="22"/>
          <w:szCs w:val="22"/>
        </w:rPr>
        <w:t>”</w:t>
      </w:r>
      <w:proofErr w:type="gramEnd"/>
      <w:r w:rsidR="00063B1A" w:rsidRPr="004736E5">
        <w:rPr>
          <w:rFonts w:cs="Times New Roman"/>
          <w:sz w:val="22"/>
          <w:szCs w:val="22"/>
        </w:rPr>
        <w:t xml:space="preserve"> FASB, </w:t>
      </w:r>
      <w:hyperlink r:id="rId4" w:history="1">
        <w:r w:rsidR="00063B1A" w:rsidRPr="004736E5">
          <w:rPr>
            <w:rFonts w:cs="Times New Roman"/>
            <w:sz w:val="22"/>
            <w:szCs w:val="22"/>
            <w:u w:val="single"/>
          </w:rPr>
          <w:t>asc.fasb.org/print&amp;rendercmd=section&amp;trid=2208712</w:t>
        </w:r>
      </w:hyperlink>
      <w:r w:rsidR="00063B1A" w:rsidRPr="004736E5">
        <w:rPr>
          <w:rFonts w:cs="Times New Roman"/>
          <w:sz w:val="22"/>
          <w:szCs w:val="22"/>
        </w:rPr>
        <w:t>.</w:t>
      </w:r>
    </w:p>
  </w:footnote>
  <w:footnote w:id="4">
    <w:p w14:paraId="10EFDD50" w14:textId="55F52732" w:rsidR="00063B1A" w:rsidRPr="004736E5" w:rsidRDefault="00063B1A">
      <w:pPr>
        <w:pStyle w:val="FootnoteText"/>
        <w:rPr>
          <w:sz w:val="22"/>
          <w:szCs w:val="22"/>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B2D"/>
    <w:rsid w:val="00063B1A"/>
    <w:rsid w:val="00077248"/>
    <w:rsid w:val="00102B2D"/>
    <w:rsid w:val="00133CD0"/>
    <w:rsid w:val="001E7435"/>
    <w:rsid w:val="003F62F9"/>
    <w:rsid w:val="004736E5"/>
    <w:rsid w:val="00500308"/>
    <w:rsid w:val="00507A52"/>
    <w:rsid w:val="00566488"/>
    <w:rsid w:val="00605167"/>
    <w:rsid w:val="006369B9"/>
    <w:rsid w:val="0074180A"/>
    <w:rsid w:val="008F2BA4"/>
    <w:rsid w:val="00A734F8"/>
    <w:rsid w:val="00C54E35"/>
    <w:rsid w:val="00C63CE6"/>
    <w:rsid w:val="00D44AD5"/>
    <w:rsid w:val="00D63E6D"/>
    <w:rsid w:val="00D72E0F"/>
    <w:rsid w:val="00ED4812"/>
    <w:rsid w:val="00F07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165E5B"/>
  <w14:defaultImageDpi w14:val="300"/>
  <w15:docId w15:val="{C4CC6993-2892-44D1-B567-96FA7D3B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4F8"/>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44AD5"/>
  </w:style>
  <w:style w:type="character" w:customStyle="1" w:styleId="FootnoteTextChar">
    <w:name w:val="Footnote Text Char"/>
    <w:basedOn w:val="DefaultParagraphFont"/>
    <w:link w:val="FootnoteText"/>
    <w:uiPriority w:val="99"/>
    <w:rsid w:val="00D44AD5"/>
    <w:rPr>
      <w:rFonts w:ascii="Times New Roman" w:hAnsi="Times New Roman"/>
    </w:rPr>
  </w:style>
  <w:style w:type="character" w:styleId="FootnoteReference">
    <w:name w:val="footnote reference"/>
    <w:basedOn w:val="DefaultParagraphFont"/>
    <w:uiPriority w:val="99"/>
    <w:unhideWhenUsed/>
    <w:rsid w:val="00D44AD5"/>
    <w:rPr>
      <w:vertAlign w:val="superscript"/>
    </w:rPr>
  </w:style>
  <w:style w:type="character" w:styleId="Hyperlink">
    <w:name w:val="Hyperlink"/>
    <w:basedOn w:val="DefaultParagraphFont"/>
    <w:uiPriority w:val="99"/>
    <w:unhideWhenUsed/>
    <w:rsid w:val="005003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856663">
      <w:bodyDiv w:val="1"/>
      <w:marLeft w:val="0"/>
      <w:marRight w:val="0"/>
      <w:marTop w:val="0"/>
      <w:marBottom w:val="0"/>
      <w:divBdr>
        <w:top w:val="none" w:sz="0" w:space="0" w:color="auto"/>
        <w:left w:val="none" w:sz="0" w:space="0" w:color="auto"/>
        <w:bottom w:val="none" w:sz="0" w:space="0" w:color="auto"/>
        <w:right w:val="none" w:sz="0" w:space="0" w:color="auto"/>
      </w:divBdr>
    </w:div>
    <w:div w:id="631904889">
      <w:bodyDiv w:val="1"/>
      <w:marLeft w:val="0"/>
      <w:marRight w:val="0"/>
      <w:marTop w:val="0"/>
      <w:marBottom w:val="0"/>
      <w:divBdr>
        <w:top w:val="none" w:sz="0" w:space="0" w:color="auto"/>
        <w:left w:val="none" w:sz="0" w:space="0" w:color="auto"/>
        <w:bottom w:val="none" w:sz="0" w:space="0" w:color="auto"/>
        <w:right w:val="none" w:sz="0" w:space="0" w:color="auto"/>
      </w:divBdr>
    </w:div>
    <w:div w:id="861284250">
      <w:bodyDiv w:val="1"/>
      <w:marLeft w:val="0"/>
      <w:marRight w:val="0"/>
      <w:marTop w:val="0"/>
      <w:marBottom w:val="0"/>
      <w:divBdr>
        <w:top w:val="none" w:sz="0" w:space="0" w:color="auto"/>
        <w:left w:val="none" w:sz="0" w:space="0" w:color="auto"/>
        <w:bottom w:val="none" w:sz="0" w:space="0" w:color="auto"/>
        <w:right w:val="none" w:sz="0" w:space="0" w:color="auto"/>
      </w:divBdr>
    </w:div>
    <w:div w:id="9265726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b.org/jsp/FASB/Document_C/DocumentPage?cid=1176164695031&amp;acceptedDisclaimer=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sc.fasb.org/print&amp;rendercmd=section&amp;trid=22087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tore.tax.thomsonreuters.com/accounting/Audit-and-Accounting/PPCs-Guide-to-Preparing-Financial-Statements/p/100200154" TargetMode="External"/><Relationship Id="rId5" Type="http://schemas.openxmlformats.org/officeDocument/2006/relationships/footnotes" Target="footnotes.xml"/><Relationship Id="rId10" Type="http://schemas.openxmlformats.org/officeDocument/2006/relationships/hyperlink" Target="http://www.journalofaccountancy.com/issues/2013/jun/20126740.html" TargetMode="External"/><Relationship Id="rId4" Type="http://schemas.openxmlformats.org/officeDocument/2006/relationships/webSettings" Target="webSettings.xml"/><Relationship Id="rId9" Type="http://schemas.openxmlformats.org/officeDocument/2006/relationships/hyperlink" Target="http://www.researchgate.net/publication/264992368_Debt_Restructurings_in_Nontroubled_Situations_Carefully_Navigating_the_Relevant_Guidanc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fasb.org/jsp/FASB/Document_C/DocumentPage?cid=1176164695031&amp;acceptedDisclaimer=true" TargetMode="External"/><Relationship Id="rId2" Type="http://schemas.openxmlformats.org/officeDocument/2006/relationships/hyperlink" Target="http://www.researchgate.net/publication/264992368_Debt_Restructurings_in_Nontroubled_Situations_Carefully_Navigating_the_Relevant_Guidance" TargetMode="External"/><Relationship Id="rId1" Type="http://schemas.openxmlformats.org/officeDocument/2006/relationships/hyperlink" Target="http://www.journalofaccountancy.com/issues/2013/jun/20126740.html" TargetMode="External"/><Relationship Id="rId4" Type="http://schemas.openxmlformats.org/officeDocument/2006/relationships/hyperlink" Target="http://asc.fasb.org/print&amp;rendercmd=section&amp;trid=22087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73DD9-E6DA-4CD3-8425-7DDAC7A09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Lenovo</cp:lastModifiedBy>
  <cp:revision>2</cp:revision>
  <cp:lastPrinted>2017-10-11T13:53:00Z</cp:lastPrinted>
  <dcterms:created xsi:type="dcterms:W3CDTF">2018-10-07T20:32:00Z</dcterms:created>
  <dcterms:modified xsi:type="dcterms:W3CDTF">2018-10-07T20:32:00Z</dcterms:modified>
</cp:coreProperties>
</file>